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88789" w14:textId="2A76140B" w:rsidR="00856DD1" w:rsidRPr="00E83F70" w:rsidRDefault="00856DD1" w:rsidP="007D3C08">
      <w:pPr>
        <w:pStyle w:val="ab"/>
        <w:rPr>
          <w:rFonts w:cs="Arial"/>
          <w:bCs/>
          <w:sz w:val="22"/>
        </w:rPr>
      </w:pPr>
      <w:r>
        <w:rPr>
          <w:rFonts w:cs="Arial"/>
          <w:bCs/>
          <w:sz w:val="22"/>
        </w:rPr>
        <w:t xml:space="preserve">3GPP TSG RAN WG1 </w:t>
      </w:r>
      <w:r w:rsidR="00A8360C">
        <w:rPr>
          <w:rFonts w:eastAsia="宋体" w:cs="Arial"/>
          <w:bCs/>
          <w:sz w:val="22"/>
          <w:lang w:eastAsia="zh-CN"/>
        </w:rPr>
        <w:t>#10</w:t>
      </w:r>
      <w:r w:rsidR="000E72B6">
        <w:rPr>
          <w:rFonts w:eastAsia="宋体" w:cs="Arial"/>
          <w:bCs/>
          <w:sz w:val="22"/>
          <w:lang w:eastAsia="zh-CN"/>
        </w:rPr>
        <w:t>4-bis-</w:t>
      </w:r>
      <w:r w:rsidR="000417B1">
        <w:rPr>
          <w:rFonts w:eastAsia="宋体" w:cs="Arial"/>
          <w:bCs/>
          <w:sz w:val="22"/>
          <w:lang w:eastAsia="zh-CN"/>
        </w:rPr>
        <w:t>e</w:t>
      </w:r>
      <w:r>
        <w:rPr>
          <w:rFonts w:cs="Arial"/>
          <w:bCs/>
          <w:sz w:val="22"/>
        </w:rPr>
        <w:tab/>
      </w:r>
      <w:r>
        <w:rPr>
          <w:rFonts w:cs="Arial"/>
          <w:bCs/>
          <w:sz w:val="22"/>
        </w:rPr>
        <w:tab/>
        <w:t>R1-2</w:t>
      </w:r>
      <w:r w:rsidR="00E83F70" w:rsidRPr="00E83F70">
        <w:rPr>
          <w:rFonts w:cs="Arial" w:hint="eastAsia"/>
          <w:bCs/>
          <w:sz w:val="22"/>
        </w:rPr>
        <w:t>10293</w:t>
      </w:r>
      <w:r w:rsidR="00006BA9">
        <w:rPr>
          <w:rFonts w:cs="Arial"/>
          <w:bCs/>
          <w:sz w:val="22"/>
        </w:rPr>
        <w:t>7</w:t>
      </w:r>
    </w:p>
    <w:p w14:paraId="31A46F15" w14:textId="7CEF79BE" w:rsidR="00856DD1" w:rsidRPr="00AA7383" w:rsidRDefault="00856DD1" w:rsidP="00856DD1">
      <w:pPr>
        <w:pStyle w:val="ab"/>
        <w:jc w:val="both"/>
        <w:rPr>
          <w:rFonts w:cs="Arial"/>
          <w:bCs/>
          <w:sz w:val="22"/>
        </w:rPr>
      </w:pPr>
      <w:r w:rsidRPr="00856DD1">
        <w:rPr>
          <w:rFonts w:cs="Arial"/>
          <w:bCs/>
          <w:sz w:val="22"/>
        </w:rPr>
        <w:t xml:space="preserve">e-Meeting, </w:t>
      </w:r>
      <w:r w:rsidR="000E72B6">
        <w:rPr>
          <w:rFonts w:cs="Arial"/>
          <w:bCs/>
          <w:sz w:val="22"/>
        </w:rPr>
        <w:t>April</w:t>
      </w:r>
      <w:r w:rsidR="00A8360C" w:rsidRPr="00A8360C">
        <w:rPr>
          <w:rFonts w:cs="Arial"/>
          <w:bCs/>
          <w:sz w:val="22"/>
        </w:rPr>
        <w:t xml:space="preserve"> </w:t>
      </w:r>
      <w:r w:rsidR="000E72B6">
        <w:rPr>
          <w:rFonts w:cs="Arial"/>
          <w:bCs/>
          <w:sz w:val="22"/>
        </w:rPr>
        <w:t>12</w:t>
      </w:r>
      <w:r w:rsidR="000E72B6" w:rsidRPr="000E72B6">
        <w:rPr>
          <w:rFonts w:cs="Arial"/>
          <w:bCs/>
          <w:sz w:val="22"/>
          <w:vertAlign w:val="superscript"/>
        </w:rPr>
        <w:t>th</w:t>
      </w:r>
      <w:r w:rsidR="00A8360C" w:rsidRPr="00A8360C">
        <w:rPr>
          <w:rFonts w:cs="Arial"/>
          <w:bCs/>
          <w:sz w:val="22"/>
        </w:rPr>
        <w:t xml:space="preserve"> – </w:t>
      </w:r>
      <w:r w:rsidR="000E72B6">
        <w:rPr>
          <w:rFonts w:cs="Arial"/>
          <w:bCs/>
          <w:sz w:val="22"/>
        </w:rPr>
        <w:t>April 20</w:t>
      </w:r>
      <w:r w:rsidR="000E72B6" w:rsidRPr="000E72B6">
        <w:rPr>
          <w:rFonts w:cs="Arial"/>
          <w:bCs/>
          <w:sz w:val="22"/>
          <w:vertAlign w:val="superscript"/>
        </w:rPr>
        <w:t>th</w:t>
      </w:r>
      <w:r w:rsidR="00A8360C" w:rsidRPr="00A8360C">
        <w:rPr>
          <w:rFonts w:cs="Arial"/>
          <w:bCs/>
          <w:sz w:val="22"/>
        </w:rPr>
        <w:t>, 202</w:t>
      </w:r>
      <w:r w:rsidR="000E72B6">
        <w:rPr>
          <w:rFonts w:cs="Arial"/>
          <w:bCs/>
          <w:sz w:val="22"/>
        </w:rPr>
        <w:t>1</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955EDB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0E72B6" w:rsidRPr="000E72B6">
        <w:rPr>
          <w:rFonts w:cs="Arial"/>
          <w:sz w:val="22"/>
          <w:szCs w:val="22"/>
        </w:rPr>
        <w:t>Dis</w:t>
      </w:r>
      <w:r w:rsidR="000E72B6">
        <w:rPr>
          <w:rFonts w:cs="Arial"/>
          <w:sz w:val="22"/>
          <w:szCs w:val="22"/>
        </w:rPr>
        <w:t>c</w:t>
      </w:r>
      <w:r w:rsidR="000E72B6" w:rsidRPr="000E72B6">
        <w:rPr>
          <w:rFonts w:cs="Arial"/>
          <w:sz w:val="22"/>
          <w:szCs w:val="22"/>
        </w:rPr>
        <w:t>ussion on CSI</w:t>
      </w:r>
      <w:r w:rsidR="00672B55">
        <w:rPr>
          <w:rFonts w:cs="Arial"/>
          <w:sz w:val="22"/>
          <w:szCs w:val="22"/>
        </w:rPr>
        <w:t xml:space="preserve"> request constraint per slot considering xCC scheduling with different numerologies</w:t>
      </w:r>
    </w:p>
    <w:p w14:paraId="2B7F8150" w14:textId="489ADB2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46432017" w:rsidR="00EA5A61" w:rsidRDefault="00672B5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Di</w:t>
      </w:r>
      <w:r>
        <w:rPr>
          <w:rFonts w:cs="Times New Roman"/>
          <w:b w:val="0"/>
          <w:bCs w:val="0"/>
          <w:kern w:val="0"/>
          <w:sz w:val="36"/>
          <w:szCs w:val="20"/>
          <w:lang w:val="en-GB" w:eastAsia="en-GB"/>
        </w:rPr>
        <w:t>scussions</w:t>
      </w:r>
    </w:p>
    <w:p w14:paraId="1335BB0E" w14:textId="7B3E33BF" w:rsidR="00672B55" w:rsidRDefault="00672B55" w:rsidP="0061044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RAN1 #104-e, CSI request constraint per slot is clarified for the case where different CCs have the same numerology as following.</w:t>
      </w:r>
    </w:p>
    <w:tbl>
      <w:tblPr>
        <w:tblStyle w:val="af6"/>
        <w:tblW w:w="0" w:type="auto"/>
        <w:tblLook w:val="04A0" w:firstRow="1" w:lastRow="0" w:firstColumn="1" w:lastColumn="0" w:noHBand="0" w:noVBand="1"/>
      </w:tblPr>
      <w:tblGrid>
        <w:gridCol w:w="9060"/>
      </w:tblGrid>
      <w:tr w:rsidR="00672B55" w14:paraId="7DA017F8" w14:textId="77777777" w:rsidTr="00672B55">
        <w:tc>
          <w:tcPr>
            <w:tcW w:w="9060" w:type="dxa"/>
          </w:tcPr>
          <w:p w14:paraId="0881FBA8" w14:textId="72178446" w:rsidR="00672B55" w:rsidRPr="00F36ACA" w:rsidRDefault="00672B55" w:rsidP="00672B55">
            <w:pPr>
              <w:rPr>
                <w:rFonts w:ascii="Times New Roman" w:eastAsiaTheme="minorEastAsia" w:hAnsi="Times New Roman"/>
                <w:lang w:eastAsia="zh-CN"/>
              </w:rPr>
            </w:pPr>
            <w:r w:rsidRPr="00F36ACA">
              <w:rPr>
                <w:rFonts w:ascii="Times New Roman" w:hAnsi="Times New Roman"/>
                <w:color w:val="000000"/>
              </w:rPr>
              <w:t xml:space="preserve">For CSI-RS resource sets associated with Resource Settings configured with the higher layer parameter </w:t>
            </w:r>
            <w:r w:rsidRPr="00F36ACA">
              <w:rPr>
                <w:rFonts w:ascii="Times New Roman" w:hAnsi="Times New Roman"/>
                <w:i/>
                <w:color w:val="000000"/>
              </w:rPr>
              <w:t>resourceType</w:t>
            </w:r>
            <w:r w:rsidRPr="00F36ACA">
              <w:rPr>
                <w:rFonts w:ascii="Times New Roman" w:hAnsi="Times New Roman"/>
                <w:color w:val="000000"/>
              </w:rPr>
              <w:t xml:space="preserve"> set to 'aperiodic', 'periodic', or 'semi-persistent', trigger states for Reporting Setting(s) (configured with the higher layer parameter </w:t>
            </w:r>
            <w:r w:rsidRPr="00F36ACA">
              <w:rPr>
                <w:rFonts w:ascii="Times New Roman" w:hAnsi="Times New Roman"/>
                <w:i/>
                <w:color w:val="000000"/>
              </w:rPr>
              <w:t>reportConfigType</w:t>
            </w:r>
            <w:r w:rsidRPr="00F36ACA">
              <w:rPr>
                <w:rFonts w:ascii="Times New Roman" w:hAnsi="Times New Roman"/>
                <w:color w:val="000000"/>
              </w:rPr>
              <w:t xml:space="preserve"> set to 'aperiodic') and/or Resource Setting for channel and/or interference measurement on one or more component carriers are configured using the higher layer parameter </w:t>
            </w:r>
            <w:r w:rsidRPr="00F36ACA">
              <w:rPr>
                <w:rFonts w:ascii="Times New Roman" w:hAnsi="Times New Roman"/>
                <w:i/>
                <w:color w:val="000000"/>
              </w:rPr>
              <w:t>CSI-AperiodicTriggerStateList</w:t>
            </w:r>
            <w:r w:rsidRPr="00F36ACA">
              <w:rPr>
                <w:rFonts w:ascii="Times New Roman" w:hAnsi="Times New Roman"/>
                <w:color w:val="000000"/>
              </w:rPr>
              <w:t xml:space="preserve">. For aperiodic CSI report triggering, a single set of CSI triggering states are higher layer configured, wherein the CSI triggering states can be associated with any candidate DL BWP. A UE is not expected to receive more than one DCI with non-zero </w:t>
            </w:r>
            <w:r w:rsidRPr="0011672E">
              <w:rPr>
                <w:rFonts w:ascii="Times New Roman" w:hAnsi="Times New Roman"/>
                <w:i/>
                <w:color w:val="000000"/>
              </w:rPr>
              <w:t>CSI request</w:t>
            </w:r>
            <w:r w:rsidRPr="00F36ACA">
              <w:rPr>
                <w:rFonts w:ascii="Times New Roman" w:hAnsi="Times New Roman"/>
                <w:color w:val="000000"/>
              </w:rPr>
              <w:t xml:space="preserve"> field per slot per cell. A UE is not expected to receive DCI with non-zero </w:t>
            </w:r>
            <w:r w:rsidRPr="0011672E">
              <w:rPr>
                <w:rFonts w:ascii="Times New Roman" w:hAnsi="Times New Roman"/>
                <w:i/>
                <w:color w:val="000000"/>
              </w:rPr>
              <w:t>CSI request</w:t>
            </w:r>
            <w:r w:rsidRPr="00F36ACA">
              <w:rPr>
                <w:rFonts w:ascii="Times New Roman" w:hAnsi="Times New Roman"/>
                <w:color w:val="000000"/>
              </w:rPr>
              <w:t xml:space="preserve"> field within a cell group in a slot overlapping with any slot receiving DCI with non-zero </w:t>
            </w:r>
            <w:r w:rsidRPr="0011672E">
              <w:rPr>
                <w:rFonts w:ascii="Times New Roman" w:hAnsi="Times New Roman"/>
                <w:i/>
                <w:color w:val="000000"/>
              </w:rPr>
              <w:t>CSI request</w:t>
            </w:r>
            <w:r w:rsidRPr="00F36ACA">
              <w:rPr>
                <w:rFonts w:ascii="Times New Roman" w:hAnsi="Times New Roman"/>
                <w:color w:val="000000"/>
              </w:rPr>
              <w:t xml:space="preserve"> field in the same cell group. A UE is not expected to be configured with different </w:t>
            </w:r>
            <w:r w:rsidRPr="00F36ACA">
              <w:rPr>
                <w:rFonts w:ascii="Times New Roman" w:hAnsi="Times New Roman"/>
                <w:i/>
                <w:color w:val="000000"/>
              </w:rPr>
              <w:t>TCI-StateId</w:t>
            </w:r>
            <w:r w:rsidRPr="00F36ACA">
              <w:rPr>
                <w:rFonts w:ascii="Times New Roman" w:hAnsi="Times New Roman"/>
                <w:color w:val="00000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A UE is not expected to be triggered with a CSI report for a non-active DL BWP. A trigger state is initiated using the </w:t>
            </w:r>
            <w:r w:rsidRPr="00F36ACA">
              <w:rPr>
                <w:rFonts w:ascii="Times New Roman" w:hAnsi="Times New Roman"/>
                <w:i/>
                <w:color w:val="000000"/>
              </w:rPr>
              <w:t>CSI request</w:t>
            </w:r>
            <w:r w:rsidRPr="00F36ACA">
              <w:rPr>
                <w:rFonts w:ascii="Times New Roman" w:hAnsi="Times New Roman"/>
                <w:color w:val="000000"/>
              </w:rPr>
              <w:t xml:space="preserve"> field in DCI.</w:t>
            </w:r>
          </w:p>
        </w:tc>
      </w:tr>
    </w:tbl>
    <w:p w14:paraId="6537444A" w14:textId="3AA08B73" w:rsidR="00DC5046" w:rsidRDefault="00DC5046" w:rsidP="00DC5046">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constraint mainly lies in two aspects:</w:t>
      </w:r>
    </w:p>
    <w:p w14:paraId="3C129DC2" w14:textId="7A671752" w:rsidR="00DC5046" w:rsidRDefault="00DC5046" w:rsidP="00DC5046">
      <w:pPr>
        <w:pStyle w:val="ae"/>
        <w:numPr>
          <w:ilvl w:val="0"/>
          <w:numId w:val="15"/>
        </w:numPr>
        <w:spacing w:before="120" w:after="120"/>
        <w:ind w:firstLineChars="0"/>
        <w:rPr>
          <w:rFonts w:ascii="Times New Roman" w:eastAsiaTheme="minorEastAsia" w:hAnsi="Times New Roman"/>
          <w:kern w:val="0"/>
          <w:sz w:val="20"/>
          <w:szCs w:val="24"/>
        </w:rPr>
      </w:pPr>
      <w:r w:rsidRPr="00DC5046">
        <w:rPr>
          <w:rFonts w:ascii="Times New Roman" w:eastAsiaTheme="minorEastAsia" w:hAnsi="Times New Roman"/>
          <w:kern w:val="0"/>
          <w:sz w:val="20"/>
          <w:szCs w:val="24"/>
        </w:rPr>
        <w:t xml:space="preserve">A UE is not expected to receive DCI with non-zero </w:t>
      </w:r>
      <w:r w:rsidRPr="00E043BB">
        <w:rPr>
          <w:rFonts w:ascii="Times New Roman" w:eastAsiaTheme="minorEastAsia" w:hAnsi="Times New Roman"/>
          <w:kern w:val="0"/>
          <w:sz w:val="20"/>
          <w:szCs w:val="24"/>
        </w:rPr>
        <w:t>CSI request</w:t>
      </w:r>
      <w:r w:rsidRPr="00DC5046">
        <w:rPr>
          <w:rFonts w:ascii="Times New Roman" w:eastAsiaTheme="minorEastAsia" w:hAnsi="Times New Roman"/>
          <w:kern w:val="0"/>
          <w:sz w:val="20"/>
          <w:szCs w:val="24"/>
        </w:rPr>
        <w:t xml:space="preserve"> field within a cell group in a slot overlapping with any slot receiving DCI with non-zero </w:t>
      </w:r>
      <w:r w:rsidRPr="00E043BB">
        <w:rPr>
          <w:rFonts w:ascii="Times New Roman" w:eastAsiaTheme="minorEastAsia" w:hAnsi="Times New Roman"/>
          <w:kern w:val="0"/>
          <w:sz w:val="20"/>
          <w:szCs w:val="24"/>
        </w:rPr>
        <w:t>CSI request</w:t>
      </w:r>
      <w:r w:rsidRPr="00DC5046">
        <w:rPr>
          <w:rFonts w:ascii="Times New Roman" w:eastAsiaTheme="minorEastAsia" w:hAnsi="Times New Roman"/>
          <w:kern w:val="0"/>
          <w:sz w:val="20"/>
          <w:szCs w:val="24"/>
        </w:rPr>
        <w:t xml:space="preserve"> field in the same cell group.</w:t>
      </w:r>
    </w:p>
    <w:p w14:paraId="5FF68C43" w14:textId="7A25EB89" w:rsidR="00DC5046" w:rsidRPr="00DC5046" w:rsidRDefault="00DC5046" w:rsidP="00DC5046">
      <w:pPr>
        <w:pStyle w:val="ae"/>
        <w:numPr>
          <w:ilvl w:val="0"/>
          <w:numId w:val="15"/>
        </w:numPr>
        <w:spacing w:before="120" w:after="120"/>
        <w:ind w:firstLineChars="0"/>
        <w:rPr>
          <w:rFonts w:ascii="Times New Roman" w:eastAsiaTheme="minorEastAsia" w:hAnsi="Times New Roman" w:hint="eastAsia"/>
          <w:kern w:val="0"/>
          <w:sz w:val="20"/>
          <w:szCs w:val="24"/>
        </w:rPr>
      </w:pPr>
      <w:r w:rsidRPr="00DC5046">
        <w:rPr>
          <w:rFonts w:ascii="Times New Roman" w:eastAsiaTheme="minorEastAsia" w:hAnsi="Times New Roman"/>
          <w:kern w:val="0"/>
          <w:sz w:val="20"/>
          <w:szCs w:val="24"/>
        </w:rPr>
        <w:t>A UE is not expected to receive an aperiodic CSI report request for transmission in a slot overlapping with any slot having an aperiodic CSI report transmission in the same cell group.</w:t>
      </w:r>
    </w:p>
    <w:p w14:paraId="4BB82F61" w14:textId="48B42B1B" w:rsidR="00DC5046" w:rsidRDefault="00DC5046" w:rsidP="00DC504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case for xCC scheduling with different numerologies has not been discussed.</w:t>
      </w:r>
      <w:r>
        <w:rPr>
          <w:rFonts w:ascii="Times New Roman" w:eastAsiaTheme="minorEastAsia" w:hAnsi="Times New Roman" w:hint="eastAsia"/>
          <w:lang w:eastAsia="zh-CN"/>
        </w:rPr>
        <w:t xml:space="preserve"> </w:t>
      </w:r>
    </w:p>
    <w:p w14:paraId="42E687F2" w14:textId="4C0C625D" w:rsidR="00DC5046" w:rsidRDefault="00F36ACA" w:rsidP="00DC504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x</w:t>
      </w:r>
      <w:r>
        <w:rPr>
          <w:rFonts w:ascii="Times New Roman" w:eastAsiaTheme="minorEastAsia" w:hAnsi="Times New Roman" w:hint="eastAsia"/>
          <w:lang w:eastAsia="zh-CN"/>
        </w:rPr>
        <w:t>CC</w:t>
      </w:r>
      <w:r>
        <w:rPr>
          <w:rFonts w:ascii="Times New Roman" w:eastAsiaTheme="minorEastAsia" w:hAnsi="Times New Roman"/>
          <w:lang w:eastAsia="zh-CN"/>
        </w:rPr>
        <w:t xml:space="preserve"> scheduling with different numerologies, timeline is determined considering </w:t>
      </w:r>
      <w:r w:rsidR="00E043BB">
        <w:rPr>
          <w:rFonts w:ascii="Times New Roman" w:eastAsiaTheme="minorEastAsia" w:hAnsi="Times New Roman"/>
          <w:lang w:eastAsia="zh-CN"/>
        </w:rPr>
        <w:t xml:space="preserve">numerology between </w:t>
      </w:r>
      <w:r w:rsidR="00DC5046">
        <w:rPr>
          <w:rFonts w:ascii="Times New Roman" w:eastAsiaTheme="minorEastAsia" w:hAnsi="Times New Roman"/>
          <w:lang w:eastAsia="zh-CN"/>
        </w:rPr>
        <w:t xml:space="preserve"> </w:t>
      </w:r>
      <w:r w:rsidR="00E043BB" w:rsidRPr="00F36ACA">
        <w:rPr>
          <w:rFonts w:ascii="Times New Roman" w:hAnsi="Times New Roman"/>
          <w:lang w:val="en-AU"/>
        </w:rPr>
        <w:t>(</w:t>
      </w:r>
      <w:r w:rsidR="00E043BB" w:rsidRPr="00F36ACA">
        <w:rPr>
          <w:rFonts w:ascii="Times New Roman" w:hAnsi="Times New Roman"/>
          <w:i/>
          <w:lang w:val="en-AU"/>
        </w:rPr>
        <w:t>µ</w:t>
      </w:r>
      <w:r w:rsidR="00E043BB" w:rsidRPr="00F36ACA">
        <w:rPr>
          <w:rFonts w:ascii="Times New Roman" w:hAnsi="Times New Roman"/>
          <w:i/>
          <w:vertAlign w:val="subscript"/>
          <w:lang w:val="en-AU"/>
        </w:rPr>
        <w:t>DL</w:t>
      </w:r>
      <w:r w:rsidR="00E043BB" w:rsidRPr="00F36ACA">
        <w:rPr>
          <w:rFonts w:ascii="Times New Roman" w:hAnsi="Times New Roman"/>
          <w:lang w:val="en-AU"/>
        </w:rPr>
        <w:t xml:space="preserve">, </w:t>
      </w:r>
      <w:r w:rsidR="00E043BB" w:rsidRPr="00F36ACA">
        <w:rPr>
          <w:rFonts w:ascii="Times New Roman" w:hAnsi="Times New Roman"/>
          <w:i/>
          <w:lang w:val="en-AU"/>
        </w:rPr>
        <w:t>µ</w:t>
      </w:r>
      <w:r w:rsidR="00E043BB" w:rsidRPr="00F36ACA">
        <w:rPr>
          <w:rFonts w:ascii="Times New Roman" w:hAnsi="Times New Roman"/>
          <w:i/>
          <w:vertAlign w:val="subscript"/>
          <w:lang w:val="en-AU"/>
        </w:rPr>
        <w:t>UL</w:t>
      </w:r>
      <w:r w:rsidR="00E043BB" w:rsidRPr="00F36ACA">
        <w:rPr>
          <w:rFonts w:ascii="Times New Roman" w:hAnsi="Times New Roman"/>
          <w:lang w:val="en-AU"/>
        </w:rPr>
        <w:t xml:space="preserve">) resulting with the largest </w:t>
      </w:r>
      <w:r w:rsidR="00E043BB" w:rsidRPr="00F36ACA">
        <w:rPr>
          <w:rFonts w:ascii="Times New Roman" w:hAnsi="Times New Roman"/>
          <w:i/>
          <w:lang w:val="en-AU"/>
        </w:rPr>
        <w:t>T</w:t>
      </w:r>
      <w:r w:rsidR="00E043BB" w:rsidRPr="00F36ACA">
        <w:rPr>
          <w:rFonts w:ascii="Times New Roman" w:hAnsi="Times New Roman"/>
          <w:i/>
          <w:vertAlign w:val="subscript"/>
          <w:lang w:val="en-AU"/>
        </w:rPr>
        <w:t>proc,2</w:t>
      </w:r>
      <w:r w:rsidR="00E043BB">
        <w:rPr>
          <w:rFonts w:ascii="Times New Roman" w:hAnsi="Times New Roman"/>
          <w:lang w:val="en-AU"/>
        </w:rPr>
        <w:t>.</w:t>
      </w:r>
    </w:p>
    <w:tbl>
      <w:tblPr>
        <w:tblStyle w:val="af6"/>
        <w:tblW w:w="0" w:type="auto"/>
        <w:tblLook w:val="04A0" w:firstRow="1" w:lastRow="0" w:firstColumn="1" w:lastColumn="0" w:noHBand="0" w:noVBand="1"/>
      </w:tblPr>
      <w:tblGrid>
        <w:gridCol w:w="9060"/>
      </w:tblGrid>
      <w:tr w:rsidR="00F36ACA" w:rsidRPr="00F36ACA" w14:paraId="0F5CDB07" w14:textId="77777777" w:rsidTr="00F36ACA">
        <w:tc>
          <w:tcPr>
            <w:tcW w:w="9060" w:type="dxa"/>
          </w:tcPr>
          <w:p w14:paraId="02BFB3AE" w14:textId="784B5397" w:rsidR="00F36ACA" w:rsidRPr="00F36ACA" w:rsidRDefault="00F36ACA" w:rsidP="00DC5046">
            <w:pPr>
              <w:spacing w:before="120" w:after="120"/>
              <w:jc w:val="both"/>
              <w:rPr>
                <w:rFonts w:ascii="Times New Roman" w:eastAsiaTheme="minorEastAsia" w:hAnsi="Times New Roman"/>
                <w:lang w:eastAsia="zh-CN"/>
              </w:rPr>
            </w:pPr>
            <w:r w:rsidRPr="00F36ACA">
              <w:rPr>
                <w:rFonts w:ascii="Times New Roman" w:hAnsi="Times New Roman"/>
                <w:i/>
              </w:rPr>
              <w:t>N</w:t>
            </w:r>
            <w:r w:rsidRPr="00F36ACA">
              <w:rPr>
                <w:rFonts w:ascii="Times New Roman" w:hAnsi="Times New Roman"/>
                <w:i/>
                <w:vertAlign w:val="subscript"/>
              </w:rPr>
              <w:t>2</w:t>
            </w:r>
            <w:r w:rsidRPr="00F36ACA">
              <w:rPr>
                <w:rFonts w:ascii="Times New Roman" w:hAnsi="Times New Roman"/>
              </w:rPr>
              <w:t xml:space="preserve"> </w:t>
            </w:r>
            <w:r w:rsidRPr="00F36ACA">
              <w:rPr>
                <w:rFonts w:ascii="Times New Roman" w:hAnsi="Times New Roman"/>
                <w:lang w:val="en-AU"/>
              </w:rPr>
              <w:t xml:space="preserve">is based on </w:t>
            </w:r>
            <w:r w:rsidRPr="00F36ACA">
              <w:rPr>
                <w:rFonts w:ascii="Times New Roman" w:hAnsi="Times New Roman"/>
                <w:i/>
                <w:lang w:val="en-AU"/>
              </w:rPr>
              <w:t>µ</w:t>
            </w:r>
            <w:r w:rsidRPr="00F36ACA">
              <w:rPr>
                <w:rFonts w:ascii="Times New Roman" w:hAnsi="Times New Roman"/>
                <w:lang w:val="en-AU"/>
              </w:rPr>
              <w:t xml:space="preserve"> of Table 6.4-1 and Table 6.4-2 for UE processing capability 1 and 2 respectively, where </w:t>
            </w:r>
            <w:r w:rsidRPr="00F36ACA">
              <w:rPr>
                <w:rFonts w:ascii="Times New Roman" w:hAnsi="Times New Roman"/>
                <w:i/>
                <w:lang w:val="en-AU"/>
              </w:rPr>
              <w:t>µ</w:t>
            </w:r>
            <w:r w:rsidRPr="00F36ACA">
              <w:rPr>
                <w:rFonts w:ascii="Times New Roman" w:hAnsi="Times New Roman"/>
                <w:lang w:val="en-AU"/>
              </w:rPr>
              <w:t xml:space="preserve"> corresponds to the one of (</w:t>
            </w:r>
            <w:r w:rsidRPr="00F36ACA">
              <w:rPr>
                <w:rFonts w:ascii="Times New Roman" w:hAnsi="Times New Roman"/>
                <w:i/>
                <w:lang w:val="en-AU"/>
              </w:rPr>
              <w:t>µ</w:t>
            </w:r>
            <w:r w:rsidRPr="00F36ACA">
              <w:rPr>
                <w:rFonts w:ascii="Times New Roman" w:hAnsi="Times New Roman"/>
                <w:i/>
                <w:vertAlign w:val="subscript"/>
                <w:lang w:val="en-AU"/>
              </w:rPr>
              <w:t>DL</w:t>
            </w:r>
            <w:r w:rsidRPr="00F36ACA">
              <w:rPr>
                <w:rFonts w:ascii="Times New Roman" w:hAnsi="Times New Roman"/>
                <w:lang w:val="en-AU"/>
              </w:rPr>
              <w:t xml:space="preserve">, </w:t>
            </w:r>
            <w:r w:rsidRPr="00F36ACA">
              <w:rPr>
                <w:rFonts w:ascii="Times New Roman" w:hAnsi="Times New Roman"/>
                <w:i/>
                <w:lang w:val="en-AU"/>
              </w:rPr>
              <w:t>µ</w:t>
            </w:r>
            <w:r w:rsidRPr="00F36ACA">
              <w:rPr>
                <w:rFonts w:ascii="Times New Roman" w:hAnsi="Times New Roman"/>
                <w:i/>
                <w:vertAlign w:val="subscript"/>
                <w:lang w:val="en-AU"/>
              </w:rPr>
              <w:t>UL</w:t>
            </w:r>
            <w:r w:rsidRPr="00F36ACA">
              <w:rPr>
                <w:rFonts w:ascii="Times New Roman" w:hAnsi="Times New Roman"/>
                <w:lang w:val="en-AU"/>
              </w:rPr>
              <w:t xml:space="preserve">) resulting with the largest </w:t>
            </w:r>
            <w:r w:rsidRPr="00F36ACA">
              <w:rPr>
                <w:rFonts w:ascii="Times New Roman" w:hAnsi="Times New Roman"/>
                <w:i/>
                <w:lang w:val="en-AU"/>
              </w:rPr>
              <w:t>T</w:t>
            </w:r>
            <w:r w:rsidRPr="00F36ACA">
              <w:rPr>
                <w:rFonts w:ascii="Times New Roman" w:hAnsi="Times New Roman"/>
                <w:i/>
                <w:vertAlign w:val="subscript"/>
                <w:lang w:val="en-AU"/>
              </w:rPr>
              <w:t>proc,2</w:t>
            </w:r>
            <w:r w:rsidRPr="00F36ACA">
              <w:rPr>
                <w:rFonts w:ascii="Times New Roman" w:hAnsi="Times New Roman"/>
                <w:lang w:val="en-AU"/>
              </w:rPr>
              <w:t xml:space="preserve">, where the </w:t>
            </w:r>
            <w:r w:rsidRPr="00F36ACA">
              <w:rPr>
                <w:rFonts w:ascii="Times New Roman" w:hAnsi="Times New Roman"/>
                <w:i/>
                <w:lang w:val="en-AU"/>
              </w:rPr>
              <w:t>µ</w:t>
            </w:r>
            <w:r w:rsidRPr="00F36ACA">
              <w:rPr>
                <w:rFonts w:ascii="Times New Roman" w:hAnsi="Times New Roman"/>
                <w:i/>
                <w:vertAlign w:val="subscript"/>
                <w:lang w:val="en-AU"/>
              </w:rPr>
              <w:t>DL</w:t>
            </w:r>
            <w:r w:rsidRPr="00F36ACA">
              <w:rPr>
                <w:rFonts w:ascii="Times New Roman" w:hAnsi="Times New Roman"/>
                <w:lang w:val="en-AU"/>
              </w:rPr>
              <w:t xml:space="preserve"> corresponds to the subcarrier spacing of the downlink with which the PDCCH carrying the DCI scheduling the PUSCH was transmitted and </w:t>
            </w:r>
            <w:r w:rsidRPr="00F36ACA">
              <w:rPr>
                <w:rFonts w:ascii="Times New Roman" w:hAnsi="Times New Roman"/>
                <w:i/>
                <w:lang w:val="en-AU"/>
              </w:rPr>
              <w:t>µ</w:t>
            </w:r>
            <w:r w:rsidRPr="00F36ACA">
              <w:rPr>
                <w:rFonts w:ascii="Times New Roman" w:hAnsi="Times New Roman"/>
                <w:i/>
                <w:vertAlign w:val="subscript"/>
                <w:lang w:val="en-AU"/>
              </w:rPr>
              <w:t>UL</w:t>
            </w:r>
            <w:r w:rsidRPr="00F36ACA">
              <w:rPr>
                <w:rFonts w:ascii="Times New Roman" w:hAnsi="Times New Roman"/>
                <w:lang w:val="en-AU"/>
              </w:rPr>
              <w:t xml:space="preserve"> corresponds to the subcarrier spacing of the uplink channel with which the PUSCH is to be transmitted, and </w:t>
            </w:r>
            <w:r w:rsidRPr="00F36ACA">
              <w:rPr>
                <w:rFonts w:ascii="Times New Roman" w:hAnsi="Times New Roman"/>
                <w:i/>
                <w:lang w:val="en-AU"/>
              </w:rPr>
              <w:t>κ</w:t>
            </w:r>
            <w:r w:rsidRPr="00F36ACA">
              <w:rPr>
                <w:rFonts w:ascii="Times New Roman" w:hAnsi="Times New Roman"/>
                <w:lang w:val="en-AU"/>
              </w:rPr>
              <w:t xml:space="preserve"> is defined in clause 4.1 of [4, TS 38.211].</w:t>
            </w:r>
          </w:p>
        </w:tc>
      </w:tr>
    </w:tbl>
    <w:p w14:paraId="0144771F" w14:textId="68CCBA1A" w:rsidR="00F36ACA" w:rsidRPr="00DC5046" w:rsidRDefault="00E043BB" w:rsidP="00DC5046">
      <w:pPr>
        <w:spacing w:before="120" w:after="120"/>
        <w:jc w:val="both"/>
        <w:rPr>
          <w:rFonts w:ascii="Times New Roman" w:eastAsiaTheme="minorEastAsia" w:hAnsi="Times New Roman" w:hint="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ith such considerations, it is natural to extend the CSI request constraint per slot also considering above aspects.</w:t>
      </w:r>
    </w:p>
    <w:tbl>
      <w:tblPr>
        <w:tblStyle w:val="af6"/>
        <w:tblW w:w="0" w:type="auto"/>
        <w:tblLook w:val="04A0" w:firstRow="1" w:lastRow="0" w:firstColumn="1" w:lastColumn="0" w:noHBand="0" w:noVBand="1"/>
      </w:tblPr>
      <w:tblGrid>
        <w:gridCol w:w="9060"/>
      </w:tblGrid>
      <w:tr w:rsidR="00E043BB" w14:paraId="4567B61C" w14:textId="77777777" w:rsidTr="00E043BB">
        <w:tc>
          <w:tcPr>
            <w:tcW w:w="9060" w:type="dxa"/>
          </w:tcPr>
          <w:p w14:paraId="3E946440" w14:textId="2C09769A" w:rsidR="00F95D8F" w:rsidRPr="00063D63" w:rsidRDefault="00F95D8F" w:rsidP="00F95D8F">
            <w:pPr>
              <w:spacing w:before="120" w:after="120"/>
              <w:rPr>
                <w:rFonts w:ascii="Times New Roman" w:eastAsiaTheme="minorEastAsia" w:hAnsi="Times New Roman"/>
                <w:b/>
                <w:bCs/>
                <w:color w:val="FF0000"/>
              </w:rPr>
            </w:pPr>
            <w:r w:rsidRPr="00063D63">
              <w:rPr>
                <w:b/>
                <w:bCs/>
              </w:rPr>
              <w:t xml:space="preserve">5.2.1.5.1a </w:t>
            </w:r>
            <w:r w:rsidRPr="00063D63">
              <w:rPr>
                <w:b/>
                <w:bCs/>
              </w:rPr>
              <w:t>Aperiodic CSI Reporting/Aperiodic CSI-RS when the triggering PDCCH and the CSI-RS have different numerologies</w:t>
            </w:r>
          </w:p>
          <w:p w14:paraId="1EF202F2" w14:textId="50FEC396" w:rsidR="00F95D8F" w:rsidRPr="00F95D8F" w:rsidRDefault="00F95D8F" w:rsidP="00F95D8F">
            <w:pPr>
              <w:spacing w:before="120" w:after="120"/>
              <w:rPr>
                <w:rFonts w:ascii="Times New Roman" w:eastAsiaTheme="minorEastAsia" w:hAnsi="Times New Roman" w:hint="eastAsia"/>
                <w:lang w:eastAsia="zh-CN"/>
              </w:rPr>
            </w:pPr>
            <w:r w:rsidRPr="00F95D8F">
              <w:rPr>
                <w:rFonts w:ascii="Times New Roman" w:eastAsiaTheme="minorEastAsia" w:hAnsi="Times New Roman"/>
                <w:color w:val="FF0000"/>
              </w:rPr>
              <w:t>For the case when a</w:t>
            </w:r>
            <w:r w:rsidRPr="00F95D8F">
              <w:rPr>
                <w:rFonts w:ascii="Times New Roman" w:eastAsiaTheme="minorEastAsia" w:hAnsi="Times New Roman"/>
                <w:color w:val="FF0000"/>
              </w:rPr>
              <w:t xml:space="preserve">periodic CSI </w:t>
            </w:r>
            <w:r w:rsidRPr="00F95D8F">
              <w:rPr>
                <w:rFonts w:ascii="Times New Roman" w:eastAsiaTheme="minorEastAsia" w:hAnsi="Times New Roman"/>
                <w:color w:val="FF0000"/>
              </w:rPr>
              <w:t>r</w:t>
            </w:r>
            <w:r w:rsidRPr="00F95D8F">
              <w:rPr>
                <w:rFonts w:ascii="Times New Roman" w:eastAsiaTheme="minorEastAsia" w:hAnsi="Times New Roman"/>
                <w:color w:val="FF0000"/>
              </w:rPr>
              <w:t>eporting/</w:t>
            </w:r>
            <w:r w:rsidRPr="00F95D8F">
              <w:rPr>
                <w:rFonts w:ascii="Times New Roman" w:eastAsiaTheme="minorEastAsia" w:hAnsi="Times New Roman"/>
                <w:color w:val="FF0000"/>
              </w:rPr>
              <w:t>a</w:t>
            </w:r>
            <w:r w:rsidRPr="00F95D8F">
              <w:rPr>
                <w:rFonts w:ascii="Times New Roman" w:eastAsiaTheme="minorEastAsia" w:hAnsi="Times New Roman"/>
                <w:color w:val="FF0000"/>
              </w:rPr>
              <w:t>periodic CSI-RS when the triggering PDCCH and the CSI-RS have different numerologies</w:t>
            </w:r>
            <w:r w:rsidRPr="00F95D8F">
              <w:rPr>
                <w:rFonts w:ascii="Times New Roman" w:eastAsiaTheme="minorEastAsia" w:hAnsi="Times New Roman"/>
                <w:color w:val="FF0000"/>
              </w:rPr>
              <w:t>, a</w:t>
            </w:r>
            <w:r w:rsidRPr="00F95D8F">
              <w:rPr>
                <w:rFonts w:ascii="Times New Roman" w:eastAsiaTheme="minorEastAsia" w:hAnsi="Times New Roman"/>
                <w:color w:val="FF0000"/>
              </w:rPr>
              <w:t xml:space="preserve"> UE is not expected to receive DCI with non-zero CSI request field within a cell group in a </w:t>
            </w:r>
            <w:r w:rsidRPr="00F95D8F">
              <w:rPr>
                <w:rFonts w:ascii="Times New Roman" w:eastAsiaTheme="minorEastAsia" w:hAnsi="Times New Roman"/>
                <w:color w:val="FF0000"/>
                <w:highlight w:val="yellow"/>
              </w:rPr>
              <w:t>reference</w:t>
            </w:r>
            <w:r w:rsidRPr="00F95D8F">
              <w:rPr>
                <w:rFonts w:ascii="Times New Roman" w:eastAsiaTheme="minorEastAsia" w:hAnsi="Times New Roman"/>
                <w:color w:val="FF0000"/>
              </w:rPr>
              <w:t xml:space="preserve"> </w:t>
            </w:r>
            <w:r w:rsidRPr="00F95D8F">
              <w:rPr>
                <w:rFonts w:ascii="Times New Roman" w:eastAsiaTheme="minorEastAsia" w:hAnsi="Times New Roman"/>
                <w:color w:val="FF0000"/>
              </w:rPr>
              <w:t>slot</w:t>
            </w:r>
            <w:r w:rsidRPr="00F95D8F">
              <w:rPr>
                <w:rFonts w:ascii="Times New Roman" w:eastAsiaTheme="minorEastAsia" w:hAnsi="Times New Roman"/>
                <w:color w:val="FF0000"/>
              </w:rPr>
              <w:t xml:space="preserve"> </w:t>
            </w:r>
            <w:r w:rsidRPr="00F95D8F">
              <w:rPr>
                <w:rFonts w:ascii="Times New Roman" w:eastAsiaTheme="minorEastAsia" w:hAnsi="Times New Roman"/>
                <w:color w:val="FF0000"/>
              </w:rPr>
              <w:t>overlapping with any slot receiving DCI with non-zero CSI request field in the same cell group</w:t>
            </w:r>
            <w:r w:rsidRPr="00F95D8F">
              <w:rPr>
                <w:rFonts w:ascii="Times New Roman" w:eastAsiaTheme="minorEastAsia" w:hAnsi="Times New Roman"/>
                <w:color w:val="FF0000"/>
              </w:rPr>
              <w:t xml:space="preserve"> and a</w:t>
            </w:r>
            <w:r w:rsidRPr="00F95D8F">
              <w:rPr>
                <w:rFonts w:ascii="Times New Roman" w:eastAsiaTheme="minorEastAsia" w:hAnsi="Times New Roman"/>
                <w:color w:val="FF0000"/>
              </w:rPr>
              <w:t xml:space="preserve"> UE is not expected to receive an aperiodic CSI report request for transmission in a</w:t>
            </w:r>
            <w:r w:rsidRPr="00F95D8F">
              <w:rPr>
                <w:rFonts w:ascii="Times New Roman" w:eastAsiaTheme="minorEastAsia" w:hAnsi="Times New Roman"/>
                <w:color w:val="FF0000"/>
              </w:rPr>
              <w:t xml:space="preserve"> </w:t>
            </w:r>
            <w:r w:rsidRPr="00F95D8F">
              <w:rPr>
                <w:rFonts w:ascii="Times New Roman" w:eastAsiaTheme="minorEastAsia" w:hAnsi="Times New Roman"/>
                <w:color w:val="FF0000"/>
                <w:highlight w:val="yellow"/>
              </w:rPr>
              <w:t>reference</w:t>
            </w:r>
            <w:r w:rsidRPr="00F95D8F">
              <w:rPr>
                <w:rFonts w:ascii="Times New Roman" w:eastAsiaTheme="minorEastAsia" w:hAnsi="Times New Roman"/>
                <w:color w:val="FF0000"/>
              </w:rPr>
              <w:t xml:space="preserve"> slot overlapping with any slot having an aperiodic CSI report transmission in the same cell group.</w:t>
            </w:r>
            <w:r w:rsidRPr="00F95D8F">
              <w:rPr>
                <w:rFonts w:ascii="Times New Roman" w:eastAsiaTheme="minorEastAsia" w:hAnsi="Times New Roman"/>
                <w:color w:val="FF0000"/>
              </w:rPr>
              <w:t xml:space="preserve"> </w:t>
            </w:r>
            <w:r w:rsidRPr="00F95D8F">
              <w:rPr>
                <w:rFonts w:ascii="Times New Roman" w:hAnsi="Times New Roman"/>
                <w:color w:val="FF0000"/>
                <w:highlight w:val="yellow"/>
              </w:rPr>
              <w:t>T</w:t>
            </w:r>
            <w:r w:rsidRPr="00F95D8F">
              <w:rPr>
                <w:rFonts w:ascii="Times New Roman" w:hAnsi="Times New Roman"/>
                <w:color w:val="FF0000"/>
                <w:highlight w:val="yellow"/>
                <w:lang w:val="en-AU"/>
              </w:rPr>
              <w:t xml:space="preserve">he </w:t>
            </w:r>
            <w:r w:rsidRPr="00F95D8F">
              <w:rPr>
                <w:rFonts w:ascii="Times New Roman" w:hAnsi="Times New Roman"/>
                <w:color w:val="FF0000"/>
                <w:highlight w:val="yellow"/>
                <w:lang w:val="en-AU"/>
              </w:rPr>
              <w:t>reference slot is determined based on the</w:t>
            </w:r>
            <w:r w:rsidR="002771AD">
              <w:rPr>
                <w:rFonts w:ascii="Times New Roman" w:hAnsi="Times New Roman"/>
                <w:color w:val="FF0000"/>
                <w:highlight w:val="yellow"/>
                <w:lang w:val="en-AU"/>
              </w:rPr>
              <w:t xml:space="preserve"> channel with</w:t>
            </w:r>
            <w:r w:rsidRPr="00F95D8F">
              <w:rPr>
                <w:rFonts w:ascii="Times New Roman" w:hAnsi="Times New Roman"/>
                <w:color w:val="FF0000"/>
                <w:highlight w:val="yellow"/>
                <w:lang w:val="en-AU"/>
              </w:rPr>
              <w:t xml:space="preserve"> SCS </w:t>
            </w:r>
            <w:r w:rsidRPr="00F95D8F">
              <w:rPr>
                <w:rFonts w:ascii="Times New Roman" w:hAnsi="Times New Roman"/>
                <w:color w:val="FF0000"/>
                <w:highlight w:val="yellow"/>
                <w:lang w:val="en-AU"/>
              </w:rPr>
              <w:t>of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DL</w:t>
            </w:r>
            <w:r w:rsidRPr="00F95D8F">
              <w:rPr>
                <w:rFonts w:ascii="Times New Roman" w:hAnsi="Times New Roman"/>
                <w:color w:val="FF0000"/>
                <w:highlight w:val="yellow"/>
                <w:lang w:val="en-AU"/>
              </w:rPr>
              <w:t xml:space="preserve">,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UL</w:t>
            </w:r>
            <w:r w:rsidRPr="00F95D8F">
              <w:rPr>
                <w:rFonts w:ascii="Times New Roman" w:hAnsi="Times New Roman"/>
                <w:color w:val="FF0000"/>
                <w:highlight w:val="yellow"/>
                <w:lang w:val="en-AU"/>
              </w:rPr>
              <w:t xml:space="preserve">) resulting with the largest </w:t>
            </w:r>
            <w:r w:rsidRPr="00F95D8F">
              <w:rPr>
                <w:rFonts w:ascii="Times New Roman" w:hAnsi="Times New Roman"/>
                <w:i/>
                <w:color w:val="FF0000"/>
                <w:highlight w:val="yellow"/>
                <w:lang w:val="en-AU"/>
              </w:rPr>
              <w:t>T</w:t>
            </w:r>
            <w:r w:rsidRPr="00F95D8F">
              <w:rPr>
                <w:rFonts w:ascii="Times New Roman" w:hAnsi="Times New Roman"/>
                <w:i/>
                <w:color w:val="FF0000"/>
                <w:highlight w:val="yellow"/>
                <w:vertAlign w:val="subscript"/>
                <w:lang w:val="en-AU"/>
              </w:rPr>
              <w:t>proc,2</w:t>
            </w:r>
            <w:r w:rsidRPr="00F95D8F">
              <w:rPr>
                <w:rFonts w:ascii="Times New Roman" w:hAnsi="Times New Roman"/>
                <w:color w:val="FF0000"/>
                <w:highlight w:val="yellow"/>
                <w:lang w:val="en-AU"/>
              </w:rPr>
              <w:t xml:space="preserve">, where the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DL</w:t>
            </w:r>
            <w:r w:rsidRPr="00F95D8F">
              <w:rPr>
                <w:rFonts w:ascii="Times New Roman" w:hAnsi="Times New Roman"/>
                <w:color w:val="FF0000"/>
                <w:highlight w:val="yellow"/>
                <w:lang w:val="en-AU"/>
              </w:rPr>
              <w:t xml:space="preserve"> corresponds to the subcarrier spacing of the downlink with which the PDCCH carrying the DCI scheduling the PUSCH was transmitted and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UL</w:t>
            </w:r>
            <w:r w:rsidRPr="00F95D8F">
              <w:rPr>
                <w:rFonts w:ascii="Times New Roman" w:hAnsi="Times New Roman"/>
                <w:color w:val="FF0000"/>
                <w:highlight w:val="yellow"/>
                <w:lang w:val="en-AU"/>
              </w:rPr>
              <w:t xml:space="preserve"> corresponds to the subcarrier spacing of the uplink channel with which the PUSCH is to be transmitted, and </w:t>
            </w:r>
            <w:r w:rsidRPr="00F95D8F">
              <w:rPr>
                <w:rFonts w:ascii="Times New Roman" w:hAnsi="Times New Roman"/>
                <w:i/>
                <w:color w:val="FF0000"/>
                <w:highlight w:val="yellow"/>
                <w:lang w:val="en-AU"/>
              </w:rPr>
              <w:t>κ</w:t>
            </w:r>
            <w:r w:rsidRPr="00F95D8F">
              <w:rPr>
                <w:rFonts w:ascii="Times New Roman" w:hAnsi="Times New Roman"/>
                <w:color w:val="FF0000"/>
                <w:highlight w:val="yellow"/>
                <w:lang w:val="en-AU"/>
              </w:rPr>
              <w:t xml:space="preserve"> is defined in clause 4.1 of [4, TS 38.211]</w:t>
            </w:r>
            <w:r w:rsidRPr="00F95D8F">
              <w:rPr>
                <w:rFonts w:ascii="Times New Roman" w:eastAsiaTheme="minorEastAsia" w:hAnsi="Times New Roman" w:hint="eastAsia"/>
                <w:color w:val="FF0000"/>
                <w:highlight w:val="yellow"/>
                <w:lang w:val="en-AU" w:eastAsia="zh-CN"/>
              </w:rPr>
              <w:t>.</w:t>
            </w:r>
          </w:p>
        </w:tc>
      </w:tr>
    </w:tbl>
    <w:p w14:paraId="4A1F8EF2" w14:textId="45C69F52" w:rsidR="00063D63" w:rsidRDefault="00063D63" w:rsidP="00DC504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Above behavior is non-backward compatible. A UE in-capability should be introduced for such behavior.</w:t>
      </w:r>
    </w:p>
    <w:p w14:paraId="02E5FD6E" w14:textId="4082D7E5" w:rsidR="00063D63" w:rsidRDefault="00063D63" w:rsidP="00DC5046">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T</w:t>
      </w:r>
      <w:r>
        <w:rPr>
          <w:rFonts w:ascii="Times New Roman" w:eastAsiaTheme="minorEastAsia" w:hAnsi="Times New Roman"/>
          <w:lang w:eastAsia="zh-CN"/>
        </w:rPr>
        <w:t>here is another part also in section 5.2.1.5 with similar constraint, we would like to clarify that this is redundant considering latest agreement.</w:t>
      </w:r>
    </w:p>
    <w:tbl>
      <w:tblPr>
        <w:tblStyle w:val="af6"/>
        <w:tblW w:w="0" w:type="auto"/>
        <w:tblLook w:val="04A0" w:firstRow="1" w:lastRow="0" w:firstColumn="1" w:lastColumn="0" w:noHBand="0" w:noVBand="1"/>
      </w:tblPr>
      <w:tblGrid>
        <w:gridCol w:w="9060"/>
      </w:tblGrid>
      <w:tr w:rsidR="00063D63" w14:paraId="171CD48E" w14:textId="77777777" w:rsidTr="00063D63">
        <w:tc>
          <w:tcPr>
            <w:tcW w:w="9060" w:type="dxa"/>
          </w:tcPr>
          <w:p w14:paraId="154F1D1E" w14:textId="5D47940E" w:rsidR="00063D63" w:rsidRPr="00063D63" w:rsidRDefault="00063D63" w:rsidP="00063D63">
            <w:pPr>
              <w:rPr>
                <w:rFonts w:ascii="Times New Roman" w:hAnsi="Times New Roman"/>
                <w:color w:val="000000"/>
              </w:rPr>
            </w:pPr>
            <w:r w:rsidRPr="00063D63">
              <w:rPr>
                <w:rFonts w:ascii="Times New Roman" w:hAnsi="Times New Roman"/>
                <w:color w:val="000000"/>
              </w:rPr>
              <w:t>If the UE is configured with a single carrier for uplink, the UE is not expected to transmit more than one aperiodic CSI report triggered by different DCIs on overlapping OFDM symbols.</w:t>
            </w:r>
          </w:p>
        </w:tc>
      </w:tr>
    </w:tbl>
    <w:p w14:paraId="1C4E120D" w14:textId="77777777" w:rsidR="00063D63" w:rsidRDefault="00063D63" w:rsidP="00DC5046">
      <w:pPr>
        <w:spacing w:before="120" w:after="120"/>
        <w:jc w:val="both"/>
        <w:rPr>
          <w:rFonts w:ascii="Times New Roman" w:eastAsiaTheme="minorEastAsia" w:hAnsi="Times New Roman" w:hint="eastAsia"/>
          <w:lang w:eastAsia="zh-CN"/>
        </w:rPr>
      </w:pPr>
    </w:p>
    <w:p w14:paraId="32ED293B" w14:textId="5E24D32F" w:rsidR="00EA5A61" w:rsidRDefault="00063D6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Conclusion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B596542" w14:textId="0A609638" w:rsidR="00063D63" w:rsidRDefault="0011672E" w:rsidP="007933DF">
      <w:pPr>
        <w:spacing w:before="120" w:after="120"/>
        <w:jc w:val="both"/>
        <w:rPr>
          <w:rFonts w:ascii="Times New Roman" w:eastAsiaTheme="minorEastAsia" w:hAnsi="Times New Roman"/>
          <w:b/>
          <w:bCs/>
          <w:lang w:eastAsia="zh-CN"/>
        </w:rPr>
      </w:pPr>
      <w:bookmarkStart w:id="1" w:name="_Ref521492551"/>
      <w:bookmarkStart w:id="2" w:name="PP12"/>
      <w:bookmarkStart w:id="3" w:name="_Hlk32419238"/>
      <w:r w:rsidRPr="0011672E">
        <w:rPr>
          <w:rFonts w:ascii="Times New Roman" w:eastAsiaTheme="minorEastAsia" w:hAnsi="Times New Roman" w:hint="eastAsia"/>
          <w:lang w:eastAsia="zh-CN"/>
        </w:rPr>
        <w:t>W</w:t>
      </w:r>
      <w:r w:rsidRPr="0011672E">
        <w:rPr>
          <w:rFonts w:ascii="Times New Roman" w:eastAsiaTheme="minorEastAsia" w:hAnsi="Times New Roman"/>
          <w:lang w:eastAsia="zh-CN"/>
        </w:rPr>
        <w:t>e have the following proposal for</w:t>
      </w:r>
      <w:r>
        <w:rPr>
          <w:rFonts w:ascii="Times New Roman" w:eastAsiaTheme="minorEastAsia" w:hAnsi="Times New Roman"/>
          <w:lang w:eastAsia="zh-CN"/>
        </w:rPr>
        <w:t xml:space="preserve"> per slot CSI request constraint considering xCC scheduling with different numerologies. </w:t>
      </w:r>
    </w:p>
    <w:p w14:paraId="2C5EF05A" w14:textId="4BFC0230" w:rsidR="007933DF" w:rsidRDefault="007933DF" w:rsidP="007933DF">
      <w:pPr>
        <w:spacing w:before="120" w:after="120"/>
        <w:jc w:val="both"/>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1: </w:t>
      </w:r>
      <w:r w:rsidR="00063D63">
        <w:rPr>
          <w:rFonts w:ascii="Times New Roman" w:eastAsiaTheme="minorEastAsia" w:hAnsi="Times New Roman" w:hint="eastAsia"/>
          <w:b/>
          <w:bCs/>
          <w:lang w:eastAsia="zh-CN"/>
        </w:rPr>
        <w:t>Adopt</w:t>
      </w:r>
      <w:r w:rsidR="00063D63">
        <w:rPr>
          <w:rFonts w:ascii="Times New Roman" w:eastAsiaTheme="minorEastAsia" w:hAnsi="Times New Roman"/>
          <w:b/>
          <w:bCs/>
          <w:lang w:eastAsia="zh-CN"/>
        </w:rPr>
        <w:t xml:space="preserve"> the following TP for the</w:t>
      </w:r>
      <w:r w:rsidR="0011672E">
        <w:rPr>
          <w:rFonts w:ascii="Times New Roman" w:eastAsiaTheme="minorEastAsia" w:hAnsi="Times New Roman"/>
          <w:b/>
          <w:bCs/>
          <w:lang w:eastAsia="zh-CN"/>
        </w:rPr>
        <w:t xml:space="preserve"> per slot</w:t>
      </w:r>
      <w:r w:rsidR="00063D63">
        <w:rPr>
          <w:rFonts w:ascii="Times New Roman" w:eastAsiaTheme="minorEastAsia" w:hAnsi="Times New Roman"/>
          <w:b/>
          <w:bCs/>
          <w:lang w:eastAsia="zh-CN"/>
        </w:rPr>
        <w:t xml:space="preserve"> CSI request constraint </w:t>
      </w:r>
      <w:r w:rsidR="0011672E">
        <w:rPr>
          <w:rFonts w:ascii="Times New Roman" w:eastAsiaTheme="minorEastAsia" w:hAnsi="Times New Roman"/>
          <w:b/>
          <w:bCs/>
          <w:lang w:eastAsia="zh-CN"/>
        </w:rPr>
        <w:t>when PDCCH and CSI</w:t>
      </w:r>
    </w:p>
    <w:tbl>
      <w:tblPr>
        <w:tblStyle w:val="af6"/>
        <w:tblW w:w="0" w:type="auto"/>
        <w:tblLook w:val="04A0" w:firstRow="1" w:lastRow="0" w:firstColumn="1" w:lastColumn="0" w:noHBand="0" w:noVBand="1"/>
      </w:tblPr>
      <w:tblGrid>
        <w:gridCol w:w="9060"/>
      </w:tblGrid>
      <w:tr w:rsidR="0011672E" w14:paraId="67130043" w14:textId="77777777" w:rsidTr="0011672E">
        <w:tc>
          <w:tcPr>
            <w:tcW w:w="9060" w:type="dxa"/>
          </w:tcPr>
          <w:p w14:paraId="5EFE0093" w14:textId="77777777" w:rsidR="0011672E" w:rsidRPr="00063D63" w:rsidRDefault="0011672E" w:rsidP="0011672E">
            <w:pPr>
              <w:spacing w:before="120" w:after="120"/>
              <w:rPr>
                <w:rFonts w:ascii="Times New Roman" w:eastAsiaTheme="minorEastAsia" w:hAnsi="Times New Roman"/>
                <w:b/>
                <w:bCs/>
                <w:color w:val="FF0000"/>
              </w:rPr>
            </w:pPr>
            <w:r w:rsidRPr="00063D63">
              <w:rPr>
                <w:b/>
                <w:bCs/>
              </w:rPr>
              <w:t>5.2.1.5.1a Aperiodic CSI Reporting/Aperiodic CSI-RS when the triggering PDCCH and the CSI-RS have different numerologies</w:t>
            </w:r>
          </w:p>
          <w:p w14:paraId="61ED48E9" w14:textId="675FC1BA" w:rsidR="0011672E" w:rsidRDefault="0011672E" w:rsidP="0011672E">
            <w:pPr>
              <w:spacing w:before="120" w:after="120"/>
              <w:rPr>
                <w:b/>
                <w:bCs/>
              </w:rPr>
            </w:pPr>
            <w:r w:rsidRPr="00F95D8F">
              <w:rPr>
                <w:rFonts w:ascii="Times New Roman" w:eastAsiaTheme="minorEastAsia" w:hAnsi="Times New Roman"/>
                <w:color w:val="FF0000"/>
              </w:rPr>
              <w:t xml:space="preserve">For the case when aperiodic CSI reporting/aperiodic CSI-RS when the triggering PDCCH and the CSI-RS have different numerologies, a UE is not expected to receive DCI with non-zero CSI request field within a cell group in a </w:t>
            </w:r>
            <w:r w:rsidRPr="00F95D8F">
              <w:rPr>
                <w:rFonts w:ascii="Times New Roman" w:eastAsiaTheme="minorEastAsia" w:hAnsi="Times New Roman"/>
                <w:color w:val="FF0000"/>
                <w:highlight w:val="yellow"/>
              </w:rPr>
              <w:t>reference</w:t>
            </w:r>
            <w:r w:rsidRPr="00F95D8F">
              <w:rPr>
                <w:rFonts w:ascii="Times New Roman" w:eastAsiaTheme="minorEastAsia" w:hAnsi="Times New Roman"/>
                <w:color w:val="FF0000"/>
              </w:rPr>
              <w:t xml:space="preserve"> slot overlapping with any slot receiving DCI with non-zero CSI request field in the same cell group and a UE is not expected to receive an aperiodic CSI report request for transmission in a </w:t>
            </w:r>
            <w:r w:rsidRPr="00F95D8F">
              <w:rPr>
                <w:rFonts w:ascii="Times New Roman" w:eastAsiaTheme="minorEastAsia" w:hAnsi="Times New Roman"/>
                <w:color w:val="FF0000"/>
                <w:highlight w:val="yellow"/>
              </w:rPr>
              <w:t>reference</w:t>
            </w:r>
            <w:r w:rsidRPr="00F95D8F">
              <w:rPr>
                <w:rFonts w:ascii="Times New Roman" w:eastAsiaTheme="minorEastAsia" w:hAnsi="Times New Roman"/>
                <w:color w:val="FF0000"/>
              </w:rPr>
              <w:t xml:space="preserve"> slot overlapping with any slot having an aperiodic CSI report transmission in the same cell group. </w:t>
            </w:r>
            <w:r w:rsidR="002771AD" w:rsidRPr="00F95D8F">
              <w:rPr>
                <w:rFonts w:ascii="Times New Roman" w:hAnsi="Times New Roman"/>
                <w:color w:val="FF0000"/>
                <w:highlight w:val="yellow"/>
              </w:rPr>
              <w:t>T</w:t>
            </w:r>
            <w:r w:rsidR="002771AD" w:rsidRPr="00F95D8F">
              <w:rPr>
                <w:rFonts w:ascii="Times New Roman" w:hAnsi="Times New Roman"/>
                <w:color w:val="FF0000"/>
                <w:highlight w:val="yellow"/>
                <w:lang w:val="en-AU"/>
              </w:rPr>
              <w:t>he reference slot is determined based on the</w:t>
            </w:r>
            <w:r w:rsidR="002771AD">
              <w:rPr>
                <w:rFonts w:ascii="Times New Roman" w:hAnsi="Times New Roman"/>
                <w:color w:val="FF0000"/>
                <w:highlight w:val="yellow"/>
                <w:lang w:val="en-AU"/>
              </w:rPr>
              <w:t xml:space="preserve"> channel </w:t>
            </w:r>
            <w:r w:rsidR="002771AD">
              <w:rPr>
                <w:rFonts w:ascii="Times New Roman" w:hAnsi="Times New Roman"/>
                <w:color w:val="FF0000"/>
                <w:highlight w:val="yellow"/>
                <w:lang w:val="en-AU"/>
              </w:rPr>
              <w:t>with</w:t>
            </w:r>
            <w:r w:rsidRPr="00F95D8F">
              <w:rPr>
                <w:rFonts w:ascii="Times New Roman" w:hAnsi="Times New Roman"/>
                <w:color w:val="FF0000"/>
                <w:highlight w:val="yellow"/>
                <w:lang w:val="en-AU"/>
              </w:rPr>
              <w:t xml:space="preserve"> the SCS of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DL</w:t>
            </w:r>
            <w:r w:rsidRPr="00F95D8F">
              <w:rPr>
                <w:rFonts w:ascii="Times New Roman" w:hAnsi="Times New Roman"/>
                <w:color w:val="FF0000"/>
                <w:highlight w:val="yellow"/>
                <w:lang w:val="en-AU"/>
              </w:rPr>
              <w:t xml:space="preserve">,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UL</w:t>
            </w:r>
            <w:r w:rsidRPr="00F95D8F">
              <w:rPr>
                <w:rFonts w:ascii="Times New Roman" w:hAnsi="Times New Roman"/>
                <w:color w:val="FF0000"/>
                <w:highlight w:val="yellow"/>
                <w:lang w:val="en-AU"/>
              </w:rPr>
              <w:t xml:space="preserve">) resulting with the largest </w:t>
            </w:r>
            <w:r w:rsidRPr="00F95D8F">
              <w:rPr>
                <w:rFonts w:ascii="Times New Roman" w:hAnsi="Times New Roman"/>
                <w:i/>
                <w:color w:val="FF0000"/>
                <w:highlight w:val="yellow"/>
                <w:lang w:val="en-AU"/>
              </w:rPr>
              <w:t>T</w:t>
            </w:r>
            <w:r w:rsidRPr="00F95D8F">
              <w:rPr>
                <w:rFonts w:ascii="Times New Roman" w:hAnsi="Times New Roman"/>
                <w:i/>
                <w:color w:val="FF0000"/>
                <w:highlight w:val="yellow"/>
                <w:vertAlign w:val="subscript"/>
                <w:lang w:val="en-AU"/>
              </w:rPr>
              <w:t>proc,2</w:t>
            </w:r>
            <w:r w:rsidRPr="00F95D8F">
              <w:rPr>
                <w:rFonts w:ascii="Times New Roman" w:hAnsi="Times New Roman"/>
                <w:color w:val="FF0000"/>
                <w:highlight w:val="yellow"/>
                <w:lang w:val="en-AU"/>
              </w:rPr>
              <w:t xml:space="preserve">, where the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DL</w:t>
            </w:r>
            <w:r w:rsidRPr="00F95D8F">
              <w:rPr>
                <w:rFonts w:ascii="Times New Roman" w:hAnsi="Times New Roman"/>
                <w:color w:val="FF0000"/>
                <w:highlight w:val="yellow"/>
                <w:lang w:val="en-AU"/>
              </w:rPr>
              <w:t xml:space="preserve"> corresponds to the subcarrier spacing of the downlink with which the PDCCH carrying the DCI scheduling the PUSCH was transmitted and </w:t>
            </w:r>
            <w:r w:rsidRPr="00F95D8F">
              <w:rPr>
                <w:rFonts w:ascii="Times New Roman" w:hAnsi="Times New Roman"/>
                <w:i/>
                <w:color w:val="FF0000"/>
                <w:highlight w:val="yellow"/>
                <w:lang w:val="en-AU"/>
              </w:rPr>
              <w:t>µ</w:t>
            </w:r>
            <w:r w:rsidRPr="00F95D8F">
              <w:rPr>
                <w:rFonts w:ascii="Times New Roman" w:hAnsi="Times New Roman"/>
                <w:i/>
                <w:color w:val="FF0000"/>
                <w:highlight w:val="yellow"/>
                <w:vertAlign w:val="subscript"/>
                <w:lang w:val="en-AU"/>
              </w:rPr>
              <w:t>UL</w:t>
            </w:r>
            <w:r w:rsidRPr="00F95D8F">
              <w:rPr>
                <w:rFonts w:ascii="Times New Roman" w:hAnsi="Times New Roman"/>
                <w:color w:val="FF0000"/>
                <w:highlight w:val="yellow"/>
                <w:lang w:val="en-AU"/>
              </w:rPr>
              <w:t xml:space="preserve"> corresponds to the subcarrier spacing of the uplink channel with which the PUSCH is to be transmitted, and </w:t>
            </w:r>
            <w:r w:rsidRPr="00F95D8F">
              <w:rPr>
                <w:rFonts w:ascii="Times New Roman" w:hAnsi="Times New Roman"/>
                <w:i/>
                <w:color w:val="FF0000"/>
                <w:highlight w:val="yellow"/>
                <w:lang w:val="en-AU"/>
              </w:rPr>
              <w:t>κ</w:t>
            </w:r>
            <w:r w:rsidRPr="00F95D8F">
              <w:rPr>
                <w:rFonts w:ascii="Times New Roman" w:hAnsi="Times New Roman"/>
                <w:color w:val="FF0000"/>
                <w:highlight w:val="yellow"/>
                <w:lang w:val="en-AU"/>
              </w:rPr>
              <w:t xml:space="preserve"> is defined in clause 4.1 of [4, TS 38.211]</w:t>
            </w:r>
            <w:r w:rsidRPr="00F95D8F">
              <w:rPr>
                <w:rFonts w:ascii="Times New Roman" w:eastAsiaTheme="minorEastAsia" w:hAnsi="Times New Roman" w:hint="eastAsia"/>
                <w:color w:val="FF0000"/>
                <w:highlight w:val="yellow"/>
                <w:lang w:val="en-AU" w:eastAsia="zh-CN"/>
              </w:rPr>
              <w:t>.</w:t>
            </w:r>
            <w:r>
              <w:rPr>
                <w:rFonts w:ascii="Times New Roman" w:eastAsiaTheme="minorEastAsia" w:hAnsi="Times New Roman"/>
                <w:color w:val="FF0000"/>
                <w:lang w:val="en-AU" w:eastAsia="zh-CN"/>
              </w:rPr>
              <w:t xml:space="preserve"> The index of the reference slot is </w:t>
            </w:r>
          </w:p>
        </w:tc>
      </w:tr>
    </w:tbl>
    <w:p w14:paraId="24897F54" w14:textId="77777777" w:rsidR="0011672E" w:rsidRDefault="0011672E" w:rsidP="0011672E">
      <w:pPr>
        <w:spacing w:before="120" w:after="120"/>
        <w:jc w:val="both"/>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236FD6">
        <w:rPr>
          <w:rFonts w:ascii="Times New Roman" w:eastAsiaTheme="minorEastAsia" w:hAnsi="Times New Roman"/>
          <w:b/>
          <w:bCs/>
          <w:lang w:eastAsia="zh-CN"/>
        </w:rPr>
        <w:t xml:space="preserve">: </w:t>
      </w:r>
      <w:r>
        <w:rPr>
          <w:rFonts w:ascii="Times New Roman" w:eastAsiaTheme="minorEastAsia" w:hAnsi="Times New Roman"/>
          <w:b/>
          <w:bCs/>
          <w:lang w:eastAsia="zh-CN"/>
        </w:rPr>
        <w:t>Introduce a UE capability to indicate whether above constraint is applicable or not for a Rel-16 UE.</w:t>
      </w:r>
    </w:p>
    <w:p w14:paraId="62BEFEEA" w14:textId="694DAD6D" w:rsidR="0011672E" w:rsidRPr="0011672E" w:rsidRDefault="0011672E" w:rsidP="0011672E">
      <w:pPr>
        <w:spacing w:before="120" w:after="120"/>
        <w:jc w:val="both"/>
        <w:rPr>
          <w:rFonts w:ascii="Times New Roman" w:eastAsiaTheme="minorEastAsia" w:hAnsi="Times New Roman" w:hint="eastAsia"/>
          <w:b/>
          <w:bCs/>
          <w:lang w:eastAsia="zh-CN"/>
        </w:rPr>
      </w:pPr>
      <w:r>
        <w:rPr>
          <w:rFonts w:ascii="Times New Roman" w:eastAsiaTheme="minorEastAsia" w:hAnsi="Times New Roman"/>
          <w:b/>
          <w:bCs/>
          <w:lang w:eastAsia="zh-CN"/>
        </w:rPr>
        <w:t>Proposal 3: Clarify the following part of specification does not have additional constraint compared to agreed ones.</w:t>
      </w:r>
    </w:p>
    <w:tbl>
      <w:tblPr>
        <w:tblStyle w:val="af6"/>
        <w:tblW w:w="0" w:type="auto"/>
        <w:tblLook w:val="04A0" w:firstRow="1" w:lastRow="0" w:firstColumn="1" w:lastColumn="0" w:noHBand="0" w:noVBand="1"/>
      </w:tblPr>
      <w:tblGrid>
        <w:gridCol w:w="9060"/>
      </w:tblGrid>
      <w:tr w:rsidR="0011672E" w14:paraId="28D1ACB2" w14:textId="77777777" w:rsidTr="00F63973">
        <w:tc>
          <w:tcPr>
            <w:tcW w:w="9060" w:type="dxa"/>
          </w:tcPr>
          <w:p w14:paraId="54465257" w14:textId="77777777" w:rsidR="0011672E" w:rsidRPr="00063D63" w:rsidRDefault="0011672E" w:rsidP="00F63973">
            <w:pPr>
              <w:rPr>
                <w:rFonts w:ascii="Times New Roman" w:hAnsi="Times New Roman"/>
                <w:color w:val="000000"/>
              </w:rPr>
            </w:pPr>
            <w:r w:rsidRPr="00063D63">
              <w:rPr>
                <w:rFonts w:ascii="Times New Roman" w:hAnsi="Times New Roman"/>
                <w:color w:val="000000"/>
              </w:rPr>
              <w:t>If the UE is configured with a single carrier for uplink, the UE is not expected to transmit more than one aperiodic CSI report triggered by different DCIs on overlapping OFDM symbols.</w:t>
            </w:r>
          </w:p>
        </w:tc>
      </w:tr>
    </w:tbl>
    <w:bookmarkEnd w:id="0"/>
    <w:bookmarkEnd w:id="1"/>
    <w:bookmarkEnd w:id="2"/>
    <w:bookmarkEnd w:id="3"/>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AEF5EF" w14:textId="647162C8" w:rsidR="007C6B94" w:rsidRDefault="007C6B94" w:rsidP="007C6B94">
      <w:pPr>
        <w:pStyle w:val="a0"/>
        <w:rPr>
          <w:rFonts w:ascii="Times New Roman" w:hAnsi="Times New Roman"/>
        </w:rPr>
      </w:pPr>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457A8" w14:textId="77777777" w:rsidR="00A13D5F" w:rsidRDefault="00A13D5F">
      <w:r>
        <w:separator/>
      </w:r>
    </w:p>
  </w:endnote>
  <w:endnote w:type="continuationSeparator" w:id="0">
    <w:p w14:paraId="1587B781" w14:textId="77777777" w:rsidR="00A13D5F" w:rsidRDefault="00A1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ABB02" w14:textId="77777777" w:rsidR="00A13D5F" w:rsidRDefault="00A13D5F">
      <w:r>
        <w:separator/>
      </w:r>
    </w:p>
  </w:footnote>
  <w:footnote w:type="continuationSeparator" w:id="0">
    <w:p w14:paraId="099BBC5A" w14:textId="77777777" w:rsidR="00A13D5F" w:rsidRDefault="00A13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50002"/>
    <w:multiLevelType w:val="hybridMultilevel"/>
    <w:tmpl w:val="F15E412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D24E39"/>
    <w:multiLevelType w:val="hybridMultilevel"/>
    <w:tmpl w:val="4454DD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83A270A"/>
    <w:multiLevelType w:val="multilevel"/>
    <w:tmpl w:val="4EF0CA8E"/>
    <w:lvl w:ilvl="0">
      <w:start w:val="1"/>
      <w:numFmt w:val="decimal"/>
      <w:lvlText w:val="%1."/>
      <w:lvlJc w:val="left"/>
      <w:pPr>
        <w:ind w:left="360" w:hanging="360"/>
      </w:pPr>
      <w:rPr>
        <w:rFonts w:ascii="CG Times (WN)" w:eastAsia="Times New Roman" w:hAnsi="CG Times (WN)" w:cs="Times New Roman"/>
      </w:r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23610D"/>
    <w:multiLevelType w:val="hybridMultilevel"/>
    <w:tmpl w:val="71FC72F0"/>
    <w:lvl w:ilvl="0" w:tplc="DA6C1F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3C00B1"/>
    <w:multiLevelType w:val="hybridMultilevel"/>
    <w:tmpl w:val="83A4D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8"/>
  </w:num>
  <w:num w:numId="3">
    <w:abstractNumId w:val="11"/>
  </w:num>
  <w:num w:numId="4">
    <w:abstractNumId w:val="5"/>
  </w:num>
  <w:num w:numId="5">
    <w:abstractNumId w:val="6"/>
  </w:num>
  <w:num w:numId="6">
    <w:abstractNumId w:val="10"/>
  </w:num>
  <w:num w:numId="7">
    <w:abstractNumId w:val="2"/>
  </w:num>
  <w:num w:numId="8">
    <w:abstractNumId w:val="4"/>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13"/>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BA9"/>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3D63"/>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061"/>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2B6"/>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D0"/>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672E"/>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E7A"/>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7A5"/>
    <w:rsid w:val="00235B25"/>
    <w:rsid w:val="002361CA"/>
    <w:rsid w:val="002369BD"/>
    <w:rsid w:val="00236AA7"/>
    <w:rsid w:val="00236B8F"/>
    <w:rsid w:val="00236FD6"/>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1AD"/>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0FBA"/>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70E"/>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C0B"/>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0B3E"/>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74B"/>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89F"/>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44C"/>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B55"/>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345"/>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F8D"/>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D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4D5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99E"/>
    <w:rsid w:val="00A13D5F"/>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E0D"/>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6D"/>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046"/>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43B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FB8"/>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70"/>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ACA"/>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5D8F"/>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8">
    <w:name w:val="Emphasis"/>
    <w:qFormat/>
    <w:rsid w:val="00F149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282099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2</Pages>
  <Words>980</Words>
  <Characters>5586</Characters>
  <Application>Microsoft Office Word</Application>
  <DocSecurity>0</DocSecurity>
  <Lines>46</Lines>
  <Paragraphs>13</Paragraphs>
  <ScaleCrop>false</ScaleCrop>
  <Company>Vivo</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15</cp:revision>
  <cp:lastPrinted>2011-08-03T09:36:00Z</cp:lastPrinted>
  <dcterms:created xsi:type="dcterms:W3CDTF">2020-05-12T13:47:00Z</dcterms:created>
  <dcterms:modified xsi:type="dcterms:W3CDTF">2021-04-04T03:27:00Z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